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lang w:val="en-US" w:eastAsia="zh-CN"/>
        </w:rPr>
        <w:t>福利彩票发行管理中心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福利彩票发行管理中心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扶老、助残、救孤、济困。负责对三河市福彩投注点进行机器维修、宣传、管理、彩民兑奖、销售人员培训。新设站点考察、处理各种突发事件等。</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9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13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313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bCs/>
                <w:sz w:val="22"/>
                <w:szCs w:val="22"/>
                <w:lang w:eastAsia="zh-CN"/>
              </w:rPr>
              <w:t>三河市福利彩票管理中心</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3132" w:type="dxa"/>
            <w:shd w:val="clear" w:color="auto" w:fill="auto"/>
            <w:vAlign w:val="center"/>
          </w:tcPr>
          <w:p>
            <w:pPr>
              <w:spacing w:line="584" w:lineRule="exact"/>
              <w:jc w:val="center"/>
              <w:rPr>
                <w:rFonts w:hint="default" w:ascii="Times New Roman" w:hAnsi="Times New Roman" w:eastAsia="仿宋_GB2312" w:cs="Times New Roman"/>
                <w:b/>
                <w:lang w:val="en-US"/>
              </w:rPr>
            </w:pPr>
            <w:r>
              <w:rPr>
                <w:rFonts w:hint="eastAsia" w:ascii="Times New Roman" w:hAnsi="Times New Roman" w:eastAsia="仿宋_GB2312" w:cs="Times New Roman"/>
                <w:b/>
                <w:lang w:eastAsia="zh-CN"/>
              </w:rPr>
              <w:t>财政性资金零补助（自收自</w:t>
            </w:r>
            <w:r>
              <w:rPr>
                <w:rFonts w:hint="eastAsia" w:ascii="Times New Roman" w:hAnsi="Times New Roman" w:eastAsia="仿宋_GB2312" w:cs="Times New Roman"/>
                <w:b/>
                <w:lang w:val="en-US" w:eastAsia="zh-CN"/>
              </w:rPr>
              <w:t>支）</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福利彩票发行管理中心</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256.5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256.5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福利彩票发行管理中心2023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256.2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256.2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人员支出、正常公用支出、福彩综合业务费支出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256.2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w:t>
      </w:r>
      <w:r>
        <w:rPr>
          <w:rFonts w:ascii="Times New Roman" w:hAnsi="Times New Roman" w:eastAsia="仿宋_GB2312" w:cs="Times New Roman"/>
          <w:sz w:val="32"/>
          <w:szCs w:val="32"/>
        </w:rPr>
        <w:t>项目支出。</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黑体" w:eastAsia="黑体" w:cs="Times New Roman"/>
          <w:sz w:val="32"/>
          <w:szCs w:val="32"/>
        </w:rPr>
      </w:pPr>
      <w:r>
        <w:rPr>
          <w:rFonts w:ascii="Times New Roman" w:hAnsi="黑体" w:eastAsia="黑体" w:cs="Times New Roman"/>
          <w:sz w:val="32"/>
          <w:szCs w:val="32"/>
        </w:rPr>
        <w:t>机关运行经费安排情况</w:t>
      </w:r>
    </w:p>
    <w:p>
      <w:pPr>
        <w:keepNext w:val="0"/>
        <w:keepLines w:val="0"/>
        <w:pageBreakBefore w:val="0"/>
        <w:widowControl w:val="0"/>
        <w:numPr>
          <w:numId w:val="0"/>
        </w:numPr>
        <w:kinsoku/>
        <w:wordWrap/>
        <w:overflowPunct/>
        <w:topLinePunct w:val="0"/>
        <w:autoSpaceDE w:val="0"/>
        <w:autoSpaceDN w:val="0"/>
        <w:bidi w:val="0"/>
        <w:adjustRightInd w:val="0"/>
        <w:snapToGrid/>
        <w:spacing w:line="584" w:lineRule="exact"/>
        <w:ind w:firstLine="640" w:firstLineChars="200"/>
        <w:jc w:val="left"/>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年相比持平，无增减变化。</w:t>
      </w:r>
    </w:p>
    <w:p>
      <w:pPr>
        <w:numPr>
          <w:ilvl w:val="0"/>
          <w:numId w:val="2"/>
        </w:numPr>
        <w:spacing w:line="584" w:lineRule="exact"/>
        <w:ind w:left="-10" w:leftChars="0" w:firstLine="640" w:firstLineChars="0"/>
        <w:rPr>
          <w:rFonts w:ascii="Times New Roman" w:hAnsi="黑体" w:eastAsia="黑体" w:cs="Times New Roman"/>
          <w:sz w:val="32"/>
          <w:szCs w:val="32"/>
        </w:rPr>
      </w:pPr>
      <w:r>
        <w:rPr>
          <w:rFonts w:ascii="Times New Roman" w:hAnsi="黑体" w:eastAsia="黑体" w:cs="Times New Roman"/>
          <w:sz w:val="32"/>
          <w:szCs w:val="32"/>
        </w:rPr>
        <w:t>预算绩效</w:t>
      </w:r>
      <w:r>
        <w:rPr>
          <w:rFonts w:hint="eastAsia" w:ascii="Times New Roman" w:hAnsi="黑体" w:eastAsia="黑体" w:cs="Times New Roman"/>
          <w:sz w:val="32"/>
          <w:szCs w:val="32"/>
          <w:lang w:val="en-US" w:eastAsia="zh-CN"/>
        </w:rPr>
        <w:t>信息</w:t>
      </w:r>
    </w:p>
    <w:p>
      <w:pPr>
        <w:numPr>
          <w:numId w:val="0"/>
        </w:numPr>
        <w:spacing w:line="584" w:lineRule="exact"/>
        <w:ind w:left="630" w:leftChars="0"/>
        <w:rPr>
          <w:rFonts w:ascii="Times New Roman" w:hAnsi="Times New Roman" w:eastAsia="仿宋_GB2312" w:cs="Times New Roman"/>
        </w:rPr>
      </w:pPr>
      <w:r>
        <w:rPr>
          <w:rFonts w:hint="eastAsia" w:ascii="Times New Roman" w:hAnsi="Times New Roman" w:eastAsia="仿宋_GB2312" w:cs="Times New Roman"/>
          <w:sz w:val="28"/>
          <w:lang w:val="en-US" w:eastAsia="zh-CN"/>
        </w:rPr>
        <w:t>1、人员支出</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用于中心人员的工资、养老保险、职业年金、住房公积金、事业保险、工伤保险、医疗大病保险等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数量指标</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保障人数</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保障人数</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w:t>
            </w:r>
            <w:r>
              <w:rPr>
                <w:rFonts w:hint="eastAsia" w:ascii="仿宋" w:hAnsi="仿宋" w:eastAsia="仿宋" w:cs="仿宋"/>
                <w:sz w:val="18"/>
                <w:szCs w:val="18"/>
                <w:lang w:val="en-US" w:eastAsia="zh-CN"/>
              </w:rPr>
              <w:t>13</w:t>
            </w:r>
            <w:r>
              <w:rPr>
                <w:rFonts w:hint="eastAsia" w:ascii="仿宋" w:hAnsi="仿宋" w:eastAsia="仿宋" w:cs="仿宋"/>
                <w:sz w:val="18"/>
                <w:szCs w:val="18"/>
              </w:rPr>
              <w:t>人</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工资（福利）等发放精准性</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工资福利等发放人员范围的精准性和发放数据的准确性</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质量指标</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社会保障（公积金）缴纳的及时性</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社会保障(公积金）缴纳数据的准确性</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成本指标</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工资（福利）社会保障（公积金）等发放（缴纳）标准</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工资（福利）社会保障（公积金）等发放（缴纳）标准</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w:t>
            </w:r>
            <w:r>
              <w:rPr>
                <w:rFonts w:hint="eastAsia" w:ascii="仿宋" w:hAnsi="仿宋" w:eastAsia="仿宋" w:cs="仿宋"/>
                <w:sz w:val="18"/>
                <w:szCs w:val="18"/>
                <w:lang w:val="en-US" w:eastAsia="zh-CN"/>
              </w:rPr>
              <w:t>15.38</w:t>
            </w:r>
            <w:r>
              <w:rPr>
                <w:rFonts w:hint="eastAsia" w:ascii="仿宋" w:hAnsi="仿宋" w:eastAsia="仿宋" w:cs="仿宋"/>
                <w:sz w:val="18"/>
                <w:szCs w:val="18"/>
              </w:rPr>
              <w:t>万元</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时效指标</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工资（福利）发放及时性</w:t>
            </w:r>
          </w:p>
        </w:tc>
        <w:tc>
          <w:tcPr>
            <w:tcW w:w="3402"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eastAsia" w:ascii="仿宋" w:hAnsi="仿宋" w:eastAsia="仿宋" w:cs="仿宋"/>
                <w:i w:val="0"/>
                <w:color w:val="000000"/>
                <w:kern w:val="0"/>
                <w:sz w:val="18"/>
                <w:szCs w:val="18"/>
                <w:u w:val="none"/>
                <w:lang w:val="en-US" w:eastAsia="zh-CN" w:bidi="ar"/>
              </w:rPr>
              <w:t>工资（福利）等发放的时效情况</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社会效益指标</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加强工作人员归属感，保持干部队伍稳定</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通过按时按标准发放工资福利等，进一步增强干部职工归属感，保持干部队伍相对稳定，保障办公正常运转。</w:t>
            </w:r>
          </w:p>
        </w:tc>
        <w:tc>
          <w:tcPr>
            <w:tcW w:w="1843" w:type="dxa"/>
            <w:shd w:val="clear" w:color="auto" w:fill="auto"/>
            <w:vAlign w:val="center"/>
          </w:tcPr>
          <w:p>
            <w:pPr>
              <w:pStyle w:val="18"/>
              <w:rPr>
                <w:rFonts w:hint="eastAsia" w:ascii="仿宋" w:hAnsi="仿宋" w:eastAsia="仿宋" w:cs="仿宋"/>
                <w:kern w:val="0"/>
                <w:sz w:val="18"/>
                <w:szCs w:val="18"/>
                <w:lang w:val="en-US" w:eastAsia="uk-UA" w:bidi="ar-SA"/>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服务对象满意度</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单位人员满意度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单位人员对工资福利等发放工作的满意程度</w:t>
            </w:r>
          </w:p>
        </w:tc>
        <w:tc>
          <w:tcPr>
            <w:tcW w:w="1843" w:type="dxa"/>
            <w:shd w:val="clear" w:color="auto" w:fill="auto"/>
            <w:vAlign w:val="center"/>
          </w:tcPr>
          <w:p>
            <w:pPr>
              <w:pStyle w:val="18"/>
              <w:rPr>
                <w:rFonts w:hint="eastAsia" w:ascii="仿宋" w:hAnsi="仿宋" w:eastAsia="仿宋" w:cs="仿宋"/>
                <w:kern w:val="0"/>
                <w:sz w:val="18"/>
                <w:szCs w:val="18"/>
                <w:lang w:val="en-US" w:eastAsia="uk-UA" w:bidi="ar-SA"/>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仿宋" w:hAnsi="仿宋" w:eastAsia="仿宋" w:cs="仿宋"/>
                <w:i w:val="0"/>
                <w:color w:val="000000"/>
                <w:kern w:val="0"/>
                <w:sz w:val="18"/>
                <w:szCs w:val="18"/>
                <w:u w:val="none"/>
                <w:lang w:val="en-US" w:eastAsia="zh-CN" w:bidi="ar"/>
              </w:rPr>
              <w:t>问卷调查</w:t>
            </w:r>
          </w:p>
        </w:tc>
      </w:tr>
    </w:tbl>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正常公用支出</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1"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i w:val="0"/>
                <w:color w:val="000000"/>
                <w:kern w:val="0"/>
                <w:sz w:val="18"/>
                <w:szCs w:val="18"/>
                <w:u w:val="none"/>
                <w:lang w:val="en-US" w:eastAsia="zh-CN" w:bidi="ar"/>
              </w:rPr>
              <w:t>用于中心日常经费支出及其他公用经费的开支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数量指标</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保障办公人数</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保障办公人数</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w:t>
            </w:r>
            <w:r>
              <w:rPr>
                <w:rFonts w:hint="eastAsia" w:ascii="仿宋" w:hAnsi="仿宋" w:eastAsia="仿宋" w:cs="仿宋"/>
                <w:sz w:val="18"/>
                <w:szCs w:val="18"/>
                <w:lang w:val="en-US" w:eastAsia="zh-CN"/>
              </w:rPr>
              <w:t>13</w:t>
            </w:r>
            <w:r>
              <w:rPr>
                <w:rFonts w:hint="eastAsia" w:ascii="仿宋" w:hAnsi="仿宋" w:eastAsia="仿宋" w:cs="仿宋"/>
                <w:sz w:val="18"/>
                <w:szCs w:val="18"/>
              </w:rPr>
              <w:t>人</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质量指标</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运转保障率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各项日常工作保障率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时效指标</w:t>
            </w:r>
          </w:p>
        </w:tc>
        <w:tc>
          <w:tcPr>
            <w:tcW w:w="198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经济保障及时率</w:t>
            </w:r>
          </w:p>
        </w:tc>
        <w:tc>
          <w:tcPr>
            <w:tcW w:w="3402"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仿宋" w:hAnsi="仿宋" w:eastAsia="仿宋" w:cs="仿宋"/>
                <w:i w:val="0"/>
                <w:color w:val="000000"/>
                <w:kern w:val="0"/>
                <w:sz w:val="18"/>
                <w:szCs w:val="18"/>
                <w:u w:val="none"/>
                <w:lang w:val="en-US" w:eastAsia="zh-CN" w:bidi="ar"/>
              </w:rPr>
              <w:t>及时保障各项日常办公需求及时率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成本指标</w:t>
            </w:r>
          </w:p>
        </w:tc>
        <w:tc>
          <w:tcPr>
            <w:tcW w:w="198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日常经费开支标准</w:t>
            </w:r>
          </w:p>
        </w:tc>
        <w:tc>
          <w:tcPr>
            <w:tcW w:w="3402"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办公费、水电费、业务用车交通工会经费及其他经费的开支标准</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w:t>
            </w:r>
            <w:r>
              <w:rPr>
                <w:rFonts w:hint="eastAsia" w:ascii="仿宋" w:hAnsi="仿宋" w:eastAsia="仿宋" w:cs="仿宋"/>
                <w:sz w:val="18"/>
                <w:szCs w:val="18"/>
                <w:lang w:val="en-US" w:eastAsia="zh-CN"/>
              </w:rPr>
              <w:t>1.36</w:t>
            </w:r>
            <w:r>
              <w:rPr>
                <w:rFonts w:hint="eastAsia" w:ascii="仿宋" w:hAnsi="仿宋" w:eastAsia="仿宋" w:cs="仿宋"/>
                <w:sz w:val="18"/>
                <w:szCs w:val="18"/>
              </w:rPr>
              <w:t>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社会效益指标</w:t>
            </w:r>
          </w:p>
        </w:tc>
        <w:tc>
          <w:tcPr>
            <w:tcW w:w="1985"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eastAsia" w:ascii="仿宋" w:hAnsi="仿宋" w:eastAsia="仿宋" w:cs="仿宋"/>
                <w:i w:val="0"/>
                <w:color w:val="000000"/>
                <w:kern w:val="0"/>
                <w:sz w:val="18"/>
                <w:szCs w:val="18"/>
                <w:u w:val="none"/>
                <w:lang w:val="en-US" w:eastAsia="zh-CN" w:bidi="ar"/>
              </w:rPr>
              <w:t>突发事件处理率</w:t>
            </w:r>
          </w:p>
        </w:tc>
        <w:tc>
          <w:tcPr>
            <w:tcW w:w="3402"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eastAsia" w:ascii="仿宋" w:hAnsi="仿宋" w:eastAsia="仿宋" w:cs="仿宋"/>
                <w:i w:val="0"/>
                <w:color w:val="000000"/>
                <w:kern w:val="0"/>
                <w:sz w:val="18"/>
                <w:szCs w:val="18"/>
                <w:u w:val="none"/>
                <w:lang w:val="en-US" w:eastAsia="zh-CN" w:bidi="ar"/>
              </w:rPr>
              <w:t>全年针对突发事件占比</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6"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hint="eastAsia" w:ascii="仿宋" w:hAnsi="仿宋" w:eastAsia="仿宋" w:cs="仿宋"/>
                <w:kern w:val="0"/>
                <w:sz w:val="18"/>
                <w:szCs w:val="18"/>
                <w:lang w:val="en-US" w:eastAsia="uk-UA" w:bidi="ar-SA"/>
              </w:rPr>
            </w:pPr>
            <w:r>
              <w:rPr>
                <w:rFonts w:hint="eastAsia" w:ascii="仿宋" w:hAnsi="仿宋" w:eastAsia="仿宋" w:cs="仿宋"/>
                <w:sz w:val="18"/>
                <w:szCs w:val="18"/>
              </w:rPr>
              <w:t>服务对象满意度指标</w:t>
            </w:r>
          </w:p>
        </w:tc>
        <w:tc>
          <w:tcPr>
            <w:tcW w:w="198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站主满意度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提升站主满意度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问卷调查</w:t>
            </w:r>
          </w:p>
        </w:tc>
      </w:tr>
    </w:tbl>
    <w:p>
      <w:pPr>
        <w:spacing w:line="584" w:lineRule="exact"/>
        <w:jc w:val="left"/>
        <w:outlineLvl w:val="1"/>
        <w:rPr>
          <w:rFonts w:hint="eastAsia" w:ascii="Times New Roman" w:hAnsi="Times New Roman" w:eastAsia="仿宋_GB2312" w:cs="Times New Roman"/>
          <w:sz w:val="28"/>
          <w:lang w:val="en-US" w:eastAsia="zh-CN"/>
        </w:rPr>
      </w:pPr>
    </w:p>
    <w:p>
      <w:pPr>
        <w:spacing w:line="584" w:lineRule="exact"/>
        <w:jc w:val="left"/>
        <w:outlineLvl w:val="1"/>
        <w:rPr>
          <w:rFonts w:hint="eastAsia" w:ascii="Times New Roman" w:hAnsi="Times New Roman" w:eastAsia="仿宋_GB2312" w:cs="Times New Roman"/>
          <w:sz w:val="28"/>
          <w:lang w:val="en-US" w:eastAsia="zh-CN"/>
        </w:rPr>
      </w:pPr>
    </w:p>
    <w:p>
      <w:pPr>
        <w:spacing w:line="584" w:lineRule="exact"/>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福彩综合业务费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06"/>
        <w:gridCol w:w="2147"/>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rPr>
            </w:pPr>
            <w:r>
              <w:rPr>
                <w:rFonts w:hint="eastAsia" w:ascii="仿宋" w:hAnsi="仿宋" w:eastAsia="仿宋" w:cs="仿宋"/>
                <w:i w:val="0"/>
                <w:color w:val="000000"/>
                <w:kern w:val="0"/>
                <w:sz w:val="18"/>
                <w:szCs w:val="18"/>
                <w:u w:val="none"/>
                <w:lang w:val="en-US" w:eastAsia="zh-CN" w:bidi="ar"/>
              </w:rPr>
              <w:t>用于中心促销加奖等综合业务支出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06"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数量指标</w:t>
            </w:r>
          </w:p>
        </w:tc>
        <w:tc>
          <w:tcPr>
            <w:tcW w:w="2147"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彩票销售宣传语促销次数</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彩票销售宣传语促销次数</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≥10次</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06"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质量指标</w:t>
            </w:r>
          </w:p>
        </w:tc>
        <w:tc>
          <w:tcPr>
            <w:tcW w:w="2147"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运转保障率</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各项业务工作保障率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06"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时效指标</w:t>
            </w:r>
          </w:p>
        </w:tc>
        <w:tc>
          <w:tcPr>
            <w:tcW w:w="2147"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宣传计划按期完成率</w:t>
            </w:r>
          </w:p>
        </w:tc>
        <w:tc>
          <w:tcPr>
            <w:tcW w:w="3402"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全年宣传按期及时率</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106"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成本指标</w:t>
            </w:r>
          </w:p>
        </w:tc>
        <w:tc>
          <w:tcPr>
            <w:tcW w:w="2147"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项目宣传成本</w:t>
            </w:r>
          </w:p>
        </w:tc>
        <w:tc>
          <w:tcPr>
            <w:tcW w:w="3402"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eastAsia" w:ascii="仿宋" w:hAnsi="仿宋" w:eastAsia="仿宋" w:cs="仿宋"/>
                <w:i w:val="0"/>
                <w:color w:val="000000"/>
                <w:kern w:val="0"/>
                <w:sz w:val="18"/>
                <w:szCs w:val="18"/>
                <w:u w:val="none"/>
                <w:lang w:val="en-US" w:eastAsia="zh-CN" w:bidi="ar"/>
              </w:rPr>
              <w:t>宣传单次成本</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w:t>
            </w:r>
            <w:r>
              <w:rPr>
                <w:rFonts w:hint="eastAsia" w:ascii="仿宋" w:hAnsi="仿宋" w:eastAsia="仿宋" w:cs="仿宋"/>
                <w:sz w:val="18"/>
                <w:szCs w:val="18"/>
                <w:lang w:val="en-US" w:eastAsia="zh-CN"/>
              </w:rPr>
              <w:t>3.65</w:t>
            </w:r>
            <w:r>
              <w:rPr>
                <w:rFonts w:hint="eastAsia" w:ascii="仿宋" w:hAnsi="仿宋" w:eastAsia="仿宋" w:cs="仿宋"/>
                <w:sz w:val="18"/>
                <w:szCs w:val="18"/>
              </w:rPr>
              <w:t>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06"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rPr>
              <w:t>社会效益指标</w:t>
            </w:r>
          </w:p>
        </w:tc>
        <w:tc>
          <w:tcPr>
            <w:tcW w:w="2147"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eastAsia" w:ascii="仿宋" w:hAnsi="仿宋" w:eastAsia="仿宋" w:cs="仿宋"/>
                <w:i w:val="0"/>
                <w:color w:val="000000"/>
                <w:kern w:val="0"/>
                <w:sz w:val="18"/>
                <w:szCs w:val="18"/>
                <w:u w:val="none"/>
                <w:lang w:val="en-US" w:eastAsia="zh-CN" w:bidi="ar"/>
              </w:rPr>
              <w:t>突发事件处理率</w:t>
            </w:r>
          </w:p>
        </w:tc>
        <w:tc>
          <w:tcPr>
            <w:tcW w:w="3402" w:type="dxa"/>
            <w:shd w:val="clear" w:color="auto" w:fill="auto"/>
            <w:vAlign w:val="center"/>
          </w:tcPr>
          <w:p>
            <w:pPr>
              <w:spacing w:line="584" w:lineRule="exact"/>
              <w:jc w:val="left"/>
              <w:rPr>
                <w:rFonts w:hint="default" w:ascii="Times New Roman" w:hAnsi="Times New Roman" w:eastAsia="仿宋_GB2312" w:cs="Times New Roman"/>
                <w:lang w:val="en-US"/>
              </w:rPr>
            </w:pPr>
            <w:r>
              <w:rPr>
                <w:rFonts w:hint="eastAsia" w:ascii="仿宋" w:hAnsi="仿宋" w:eastAsia="仿宋" w:cs="仿宋"/>
                <w:i w:val="0"/>
                <w:color w:val="000000"/>
                <w:kern w:val="0"/>
                <w:sz w:val="18"/>
                <w:szCs w:val="18"/>
                <w:u w:val="none"/>
                <w:lang w:val="en-US" w:eastAsia="zh-CN" w:bidi="ar"/>
              </w:rPr>
              <w:t>全年针对突发事件占比</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冀福彩发【2016】48号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06" w:type="dxa"/>
            <w:shd w:val="clear" w:color="auto" w:fill="auto"/>
            <w:vAlign w:val="center"/>
          </w:tcPr>
          <w:p>
            <w:pPr>
              <w:pStyle w:val="18"/>
              <w:rPr>
                <w:rFonts w:hint="eastAsia" w:ascii="仿宋" w:hAnsi="仿宋" w:eastAsia="仿宋" w:cs="仿宋"/>
                <w:kern w:val="0"/>
                <w:sz w:val="18"/>
                <w:szCs w:val="18"/>
                <w:lang w:val="en-US" w:eastAsia="uk-UA" w:bidi="ar-SA"/>
              </w:rPr>
            </w:pPr>
            <w:r>
              <w:rPr>
                <w:rFonts w:hint="eastAsia" w:ascii="仿宋" w:hAnsi="仿宋" w:eastAsia="仿宋" w:cs="仿宋"/>
                <w:sz w:val="18"/>
                <w:szCs w:val="18"/>
              </w:rPr>
              <w:t>服务对象满意度指标</w:t>
            </w:r>
          </w:p>
        </w:tc>
        <w:tc>
          <w:tcPr>
            <w:tcW w:w="2147"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站主满意度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i w:val="0"/>
                <w:color w:val="000000"/>
                <w:kern w:val="0"/>
                <w:sz w:val="18"/>
                <w:szCs w:val="18"/>
                <w:u w:val="none"/>
                <w:lang w:val="en-US" w:eastAsia="zh-CN" w:bidi="ar"/>
              </w:rPr>
              <w:t>提升站主满意度</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215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调查问卷</w:t>
            </w:r>
          </w:p>
        </w:tc>
      </w:tr>
    </w:tbl>
    <w:p>
      <w:pPr>
        <w:outlineLvl w:val="3"/>
        <w:rPr>
          <w:rFonts w:hint="eastAsia" w:ascii="仿宋" w:hAnsi="仿宋" w:eastAsia="仿宋" w:cs="仿宋"/>
          <w:sz w:val="28"/>
        </w:rPr>
      </w:pPr>
    </w:p>
    <w:p>
      <w:pPr>
        <w:numPr>
          <w:ilvl w:val="0"/>
          <w:numId w:val="2"/>
        </w:numPr>
        <w:autoSpaceDE w:val="0"/>
        <w:autoSpaceDN w:val="0"/>
        <w:adjustRightInd w:val="0"/>
        <w:spacing w:line="584" w:lineRule="exact"/>
        <w:ind w:left="-10" w:leftChars="0" w:firstLine="640" w:firstLineChars="0"/>
        <w:jc w:val="left"/>
        <w:rPr>
          <w:rFonts w:ascii="Times New Roman" w:hAnsi="黑体" w:eastAsia="黑体" w:cs="Times New Roman"/>
          <w:sz w:val="32"/>
          <w:szCs w:val="32"/>
        </w:rPr>
      </w:pPr>
      <w:r>
        <w:rPr>
          <w:rFonts w:ascii="Times New Roman" w:hAnsi="黑体" w:eastAsia="黑体" w:cs="Times New Roman"/>
          <w:sz w:val="32"/>
          <w:szCs w:val="32"/>
        </w:rPr>
        <w:t>政府采购预算情况</w:t>
      </w:r>
      <w:bookmarkStart w:id="0" w:name="_Toc471398468"/>
    </w:p>
    <w:p>
      <w:pPr>
        <w:numPr>
          <w:numId w:val="0"/>
        </w:numPr>
        <w:autoSpaceDE w:val="0"/>
        <w:autoSpaceDN w:val="0"/>
        <w:adjustRightInd w:val="0"/>
        <w:spacing w:line="584" w:lineRule="exact"/>
        <w:ind w:left="630" w:leftChars="0"/>
        <w:jc w:val="left"/>
        <w:rPr>
          <w:rFonts w:ascii="Times New Roman" w:hAnsi="黑体" w:eastAsia="黑体" w:cs="Times New Roman"/>
          <w:sz w:val="32"/>
          <w:szCs w:val="32"/>
        </w:rPr>
      </w:pPr>
      <w:bookmarkStart w:id="1" w:name="_GoBack"/>
      <w:bookmarkEnd w:id="1"/>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0"/>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福利彩票发行管理中心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50.95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50.95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房屋、</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25.58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25.37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highlight w:val="none"/>
          <w:lang w:val="en-US" w:eastAsia="zh-CN"/>
        </w:rPr>
        <w:t>部门</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DD24C"/>
    <w:multiLevelType w:val="singleLevel"/>
    <w:tmpl w:val="8DADD24C"/>
    <w:lvl w:ilvl="0" w:tentative="0">
      <w:start w:val="5"/>
      <w:numFmt w:val="chineseCounting"/>
      <w:suff w:val="nothing"/>
      <w:lvlText w:val="%1、"/>
      <w:lvlJc w:val="left"/>
      <w:pPr>
        <w:ind w:left="-10"/>
      </w:pPr>
      <w:rPr>
        <w:rFonts w:hint="eastAsia"/>
      </w:rPr>
    </w:lvl>
  </w:abstractNum>
  <w:abstractNum w:abstractNumId="1">
    <w:nsid w:val="E0DCFEDB"/>
    <w:multiLevelType w:val="singleLevel"/>
    <w:tmpl w:val="E0DCFED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I2ZmI4NThlOWVmZjg5NGM4YWIyMThkYzE4YWIxMWM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E0D63A5"/>
    <w:rsid w:val="11103399"/>
    <w:rsid w:val="19874772"/>
    <w:rsid w:val="1E4B16CB"/>
    <w:rsid w:val="1EBB2E4C"/>
    <w:rsid w:val="1FCD6C57"/>
    <w:rsid w:val="2D4A5D90"/>
    <w:rsid w:val="35DF4FC7"/>
    <w:rsid w:val="37BF0DDC"/>
    <w:rsid w:val="3A7323F1"/>
    <w:rsid w:val="3B6B0E21"/>
    <w:rsid w:val="48BA626F"/>
    <w:rsid w:val="4CDC1EF0"/>
    <w:rsid w:val="54581ADF"/>
    <w:rsid w:val="68706F9B"/>
    <w:rsid w:val="73E83C3F"/>
    <w:rsid w:val="78AD4B2A"/>
    <w:rsid w:val="7DD43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2689</Words>
  <Characters>2908</Characters>
  <Lines>35</Lines>
  <Paragraphs>10</Paragraphs>
  <TotalTime>41</TotalTime>
  <ScaleCrop>false</ScaleCrop>
  <LinksUpToDate>false</LinksUpToDate>
  <CharactersWithSpaces>2908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FCCW</cp:lastModifiedBy>
  <cp:lastPrinted>2023-01-29T01:01:00Z</cp:lastPrinted>
  <dcterms:modified xsi:type="dcterms:W3CDTF">2023-03-17T05:35:56Z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EB9C0F9B3BB841678D75DAD72FAD8148</vt:lpwstr>
  </property>
</Properties>
</file>